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E8" w:rsidRDefault="006359E8" w:rsidP="006359E8">
      <w:pPr>
        <w:pStyle w:val="Heading2"/>
        <w:jc w:val="center"/>
        <w:rPr>
          <w:rFonts w:ascii="Book Antiqua" w:hAnsi="Book Antiqua"/>
          <w:sz w:val="22"/>
          <w:szCs w:val="22"/>
          <w:lang w:val="sq-AL"/>
        </w:rPr>
      </w:pPr>
      <w:bookmarkStart w:id="0" w:name="_Toc409704937"/>
      <w:bookmarkStart w:id="1" w:name="_Toc410031286"/>
      <w:bookmarkStart w:id="2" w:name="_Toc410033441"/>
      <w:bookmarkStart w:id="3" w:name="_Toc410036147"/>
      <w:r w:rsidRPr="005146AB">
        <w:rPr>
          <w:rFonts w:ascii="Book Antiqua" w:hAnsi="Book Antiqua"/>
          <w:b w:val="0"/>
          <w:noProof/>
          <w:lang w:val="en-US"/>
        </w:rPr>
        <w:drawing>
          <wp:inline distT="0" distB="0" distL="0" distR="0" wp14:anchorId="305FA708" wp14:editId="6097B9C4">
            <wp:extent cx="716915" cy="65849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E8" w:rsidRPr="002B501D" w:rsidRDefault="006359E8" w:rsidP="006359E8">
      <w:pPr>
        <w:pStyle w:val="NoSpacing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2B501D">
        <w:rPr>
          <w:rFonts w:ascii="Book Antiqua" w:hAnsi="Book Antiqua"/>
          <w:b/>
          <w:sz w:val="24"/>
          <w:szCs w:val="24"/>
          <w:lang w:val="sr-Latn-RS"/>
        </w:rPr>
        <w:t>Republika e Kosovës</w:t>
      </w:r>
    </w:p>
    <w:p w:rsidR="006359E8" w:rsidRPr="002B501D" w:rsidRDefault="006359E8" w:rsidP="006359E8">
      <w:pPr>
        <w:pStyle w:val="NoSpacing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2B501D">
        <w:rPr>
          <w:rFonts w:ascii="Book Antiqua" w:hAnsi="Book Antiqua"/>
          <w:b/>
          <w:sz w:val="24"/>
          <w:szCs w:val="24"/>
          <w:lang w:val="sr-Latn-RS"/>
        </w:rPr>
        <w:t>Republika Kosova - Republic of Kosovo</w:t>
      </w:r>
    </w:p>
    <w:p w:rsidR="006359E8" w:rsidRPr="002B501D" w:rsidRDefault="006359E8" w:rsidP="006359E8">
      <w:pPr>
        <w:pStyle w:val="NoSpacing"/>
        <w:jc w:val="center"/>
        <w:rPr>
          <w:sz w:val="24"/>
          <w:szCs w:val="24"/>
          <w:lang w:val="sr-Latn-RS"/>
        </w:rPr>
      </w:pPr>
      <w:r w:rsidRPr="002B501D">
        <w:rPr>
          <w:rFonts w:ascii="Book Antiqua" w:hAnsi="Book Antiqua"/>
          <w:b/>
          <w:sz w:val="24"/>
          <w:szCs w:val="24"/>
          <w:lang w:val="sr-Latn-RS"/>
        </w:rPr>
        <w:t>Qeveria - Vlada - Government</w:t>
      </w:r>
    </w:p>
    <w:p w:rsidR="006359E8" w:rsidRPr="002B501D" w:rsidRDefault="006359E8" w:rsidP="006359E8">
      <w:pPr>
        <w:spacing w:after="0" w:line="298" w:lineRule="exact"/>
        <w:ind w:left="1902" w:right="1882"/>
        <w:jc w:val="center"/>
        <w:rPr>
          <w:rFonts w:ascii="Book Antiqua" w:eastAsia="Book Antiqua" w:hAnsi="Book Antiqua" w:cs="Book Antiqua"/>
        </w:rPr>
      </w:pPr>
      <w:r w:rsidRPr="002B501D">
        <w:rPr>
          <w:rFonts w:ascii="Book Antiqua" w:eastAsia="Book Antiqua" w:hAnsi="Book Antiqua" w:cs="Book Antiqua"/>
          <w:spacing w:val="1"/>
        </w:rPr>
        <w:t>M</w:t>
      </w:r>
      <w:r w:rsidRPr="002B501D">
        <w:rPr>
          <w:rFonts w:ascii="Book Antiqua" w:eastAsia="Book Antiqua" w:hAnsi="Book Antiqua" w:cs="Book Antiqua"/>
        </w:rPr>
        <w:t>ini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tr</w:t>
      </w:r>
      <w:r w:rsidRPr="002B501D">
        <w:rPr>
          <w:rFonts w:ascii="Book Antiqua" w:eastAsia="Book Antiqua" w:hAnsi="Book Antiqua" w:cs="Book Antiqua"/>
        </w:rPr>
        <w:t>iae B</w:t>
      </w:r>
      <w:r w:rsidRPr="002B501D">
        <w:rPr>
          <w:rFonts w:ascii="Book Antiqua" w:eastAsia="Book Antiqua" w:hAnsi="Book Antiqua" w:cs="Book Antiqua"/>
          <w:spacing w:val="-1"/>
        </w:rPr>
        <w:t>uj</w:t>
      </w:r>
      <w:r w:rsidRPr="002B501D">
        <w:rPr>
          <w:rFonts w:ascii="Book Antiqua" w:eastAsia="Book Antiqua" w:hAnsi="Book Antiqua" w:cs="Book Antiqua"/>
        </w:rPr>
        <w:t>që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</w:rPr>
        <w:t>ë,</w:t>
      </w:r>
      <w:r w:rsidRPr="002B501D">
        <w:rPr>
          <w:rFonts w:ascii="Book Antiqua" w:eastAsia="Book Antiqua" w:hAnsi="Book Antiqua" w:cs="Book Antiqua"/>
          <w:spacing w:val="1"/>
        </w:rPr>
        <w:t>Py</w:t>
      </w:r>
      <w:r w:rsidRPr="002B501D">
        <w:rPr>
          <w:rFonts w:ascii="Book Antiqua" w:eastAsia="Book Antiqua" w:hAnsi="Book Antiqua" w:cs="Book Antiqua"/>
        </w:rPr>
        <w:t>ll</w:t>
      </w:r>
      <w:r w:rsidRPr="002B501D">
        <w:rPr>
          <w:rFonts w:ascii="Book Antiqua" w:eastAsia="Book Antiqua" w:hAnsi="Book Antiqua" w:cs="Book Antiqua"/>
          <w:spacing w:val="1"/>
        </w:rPr>
        <w:t>t</w:t>
      </w:r>
      <w:r w:rsidRPr="002B501D">
        <w:rPr>
          <w:rFonts w:ascii="Book Antiqua" w:eastAsia="Book Antiqua" w:hAnsi="Book Antiqua" w:cs="Book Antiqua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</w:rPr>
        <w:t>ëdhe</w:t>
      </w:r>
      <w:r w:rsidRPr="002B501D">
        <w:rPr>
          <w:rFonts w:ascii="Book Antiqua" w:eastAsia="Book Antiqua" w:hAnsi="Book Antiqua" w:cs="Book Antiqua"/>
          <w:spacing w:val="1"/>
        </w:rPr>
        <w:t>Z</w:t>
      </w:r>
      <w:r w:rsidRPr="002B501D">
        <w:rPr>
          <w:rFonts w:ascii="Book Antiqua" w:eastAsia="Book Antiqua" w:hAnsi="Book Antiqua" w:cs="Book Antiqua"/>
        </w:rPr>
        <w:t>h</w:t>
      </w:r>
      <w:r w:rsidRPr="002B501D">
        <w:rPr>
          <w:rFonts w:ascii="Book Antiqua" w:eastAsia="Book Antiqua" w:hAnsi="Book Antiqua" w:cs="Book Antiqua"/>
          <w:spacing w:val="1"/>
        </w:rPr>
        <w:t>v</w:t>
      </w:r>
      <w:r w:rsidRPr="002B501D">
        <w:rPr>
          <w:rFonts w:ascii="Book Antiqua" w:eastAsia="Book Antiqua" w:hAnsi="Book Antiqua" w:cs="Book Antiqua"/>
        </w:rPr>
        <w:t>illi</w:t>
      </w:r>
      <w:r w:rsidRPr="002B501D">
        <w:rPr>
          <w:rFonts w:ascii="Book Antiqua" w:eastAsia="Book Antiqua" w:hAnsi="Book Antiqua" w:cs="Book Antiqua"/>
          <w:spacing w:val="-1"/>
        </w:rPr>
        <w:t>m</w:t>
      </w:r>
      <w:r w:rsidRPr="002B501D">
        <w:rPr>
          <w:rFonts w:ascii="Book Antiqua" w:eastAsia="Book Antiqua" w:hAnsi="Book Antiqua" w:cs="Book Antiqua"/>
        </w:rPr>
        <w:t>it</w:t>
      </w:r>
      <w:r w:rsidRPr="002B501D">
        <w:rPr>
          <w:rFonts w:ascii="Book Antiqua" w:eastAsia="Book Antiqua" w:hAnsi="Book Antiqua" w:cs="Book Antiqua"/>
          <w:w w:val="99"/>
        </w:rPr>
        <w:t>R</w:t>
      </w:r>
      <w:r w:rsidRPr="002B501D">
        <w:rPr>
          <w:rFonts w:ascii="Book Antiqua" w:eastAsia="Book Antiqua" w:hAnsi="Book Antiqua" w:cs="Book Antiqua"/>
          <w:spacing w:val="-1"/>
        </w:rPr>
        <w:t>u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 xml:space="preserve">al </w:t>
      </w:r>
      <w:r w:rsidRPr="002B501D">
        <w:rPr>
          <w:rFonts w:ascii="Book Antiqua" w:eastAsia="Book Antiqua" w:hAnsi="Book Antiqua" w:cs="Book Antiqua"/>
          <w:spacing w:val="1"/>
        </w:rPr>
        <w:t>M</w:t>
      </w:r>
      <w:r w:rsidRPr="002B501D">
        <w:rPr>
          <w:rFonts w:ascii="Book Antiqua" w:eastAsia="Book Antiqua" w:hAnsi="Book Antiqua" w:cs="Book Antiqua"/>
        </w:rPr>
        <w:t>ini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</w:t>
      </w:r>
      <w:r w:rsidRPr="002B501D">
        <w:rPr>
          <w:rFonts w:ascii="Book Antiqua" w:eastAsia="Book Antiqua" w:hAnsi="Book Antiqua" w:cs="Book Antiqua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tv</w:t>
      </w:r>
      <w:r w:rsidRPr="002B501D">
        <w:rPr>
          <w:rFonts w:ascii="Book Antiqua" w:eastAsia="Book Antiqua" w:hAnsi="Book Antiqua" w:cs="Book Antiqua"/>
        </w:rPr>
        <w:t>o</w:t>
      </w:r>
      <w:r w:rsidRPr="002B501D">
        <w:rPr>
          <w:rFonts w:ascii="Book Antiqua" w:eastAsia="Book Antiqua" w:hAnsi="Book Antiqua" w:cs="Book Antiqua"/>
          <w:spacing w:val="-1"/>
        </w:rPr>
        <w:t>P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</w:rPr>
        <w:t>l</w:t>
      </w:r>
      <w:r w:rsidRPr="002B501D">
        <w:rPr>
          <w:rFonts w:ascii="Book Antiqua" w:eastAsia="Book Antiqua" w:hAnsi="Book Antiqua" w:cs="Book Antiqua"/>
          <w:spacing w:val="-1"/>
        </w:rPr>
        <w:t>j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  <w:spacing w:val="-3"/>
        </w:rPr>
        <w:t>p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v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ede,</w:t>
      </w:r>
      <w:r w:rsidRPr="002B501D">
        <w:rPr>
          <w:rFonts w:ascii="Book Antiqua" w:eastAsia="Book Antiqua" w:hAnsi="Book Antiqua" w:cs="Book Antiqua"/>
          <w:spacing w:val="-1"/>
        </w:rPr>
        <w:t>Šum</w:t>
      </w:r>
      <w:r w:rsidRPr="002B501D">
        <w:rPr>
          <w:rFonts w:ascii="Book Antiqua" w:eastAsia="Book Antiqua" w:hAnsi="Book Antiqua" w:cs="Book Antiqua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tv</w:t>
      </w:r>
      <w:r w:rsidRPr="002B501D">
        <w:rPr>
          <w:rFonts w:ascii="Book Antiqua" w:eastAsia="Book Antiqua" w:hAnsi="Book Antiqua" w:cs="Book Antiqua"/>
        </w:rPr>
        <w:t>ai R</w:t>
      </w:r>
      <w:r w:rsidRPr="002B501D">
        <w:rPr>
          <w:rFonts w:ascii="Book Antiqua" w:eastAsia="Book Antiqua" w:hAnsi="Book Antiqua" w:cs="Book Antiqua"/>
          <w:spacing w:val="-1"/>
        </w:rPr>
        <w:t>u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  <w:spacing w:val="-2"/>
        </w:rPr>
        <w:t>a</w:t>
      </w:r>
      <w:r w:rsidRPr="002B501D">
        <w:rPr>
          <w:rFonts w:ascii="Book Antiqua" w:eastAsia="Book Antiqua" w:hAnsi="Book Antiqua" w:cs="Book Antiqua"/>
        </w:rPr>
        <w:t>ln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</w:rPr>
        <w:t>g</w:t>
      </w:r>
      <w:r w:rsidRPr="002B501D">
        <w:rPr>
          <w:rFonts w:ascii="Book Antiqua" w:eastAsia="Book Antiqua" w:hAnsi="Book Antiqua" w:cs="Book Antiqua"/>
          <w:w w:val="99"/>
        </w:rPr>
        <w:t>R</w:t>
      </w:r>
      <w:r w:rsidRPr="002B501D">
        <w:rPr>
          <w:rFonts w:ascii="Book Antiqua" w:eastAsia="Book Antiqua" w:hAnsi="Book Antiqua" w:cs="Book Antiqua"/>
        </w:rPr>
        <w:t>az</w:t>
      </w:r>
      <w:r w:rsidRPr="002B501D">
        <w:rPr>
          <w:rFonts w:ascii="Book Antiqua" w:eastAsia="Book Antiqua" w:hAnsi="Book Antiqua" w:cs="Book Antiqua"/>
          <w:spacing w:val="-1"/>
          <w:w w:val="99"/>
        </w:rPr>
        <w:t>v</w:t>
      </w:r>
      <w:r w:rsidRPr="002B501D">
        <w:rPr>
          <w:rFonts w:ascii="Book Antiqua" w:eastAsia="Book Antiqua" w:hAnsi="Book Antiqua" w:cs="Book Antiqua"/>
          <w:spacing w:val="1"/>
          <w:w w:val="99"/>
        </w:rPr>
        <w:t>o</w:t>
      </w:r>
      <w:r w:rsidRPr="002B501D">
        <w:rPr>
          <w:rFonts w:ascii="Book Antiqua" w:eastAsia="Book Antiqua" w:hAnsi="Book Antiqua" w:cs="Book Antiqua"/>
          <w:spacing w:val="-1"/>
          <w:w w:val="99"/>
        </w:rPr>
        <w:t>j</w:t>
      </w:r>
      <w:r w:rsidRPr="002B501D">
        <w:rPr>
          <w:rFonts w:ascii="Book Antiqua" w:eastAsia="Book Antiqua" w:hAnsi="Book Antiqua" w:cs="Book Antiqua"/>
        </w:rPr>
        <w:t xml:space="preserve">a </w:t>
      </w:r>
      <w:r w:rsidRPr="002B501D">
        <w:rPr>
          <w:rFonts w:ascii="Book Antiqua" w:eastAsia="Book Antiqua" w:hAnsi="Book Antiqua" w:cs="Book Antiqua"/>
          <w:spacing w:val="1"/>
        </w:rPr>
        <w:t>M</w:t>
      </w:r>
      <w:r w:rsidRPr="002B501D">
        <w:rPr>
          <w:rFonts w:ascii="Book Antiqua" w:eastAsia="Book Antiqua" w:hAnsi="Book Antiqua" w:cs="Book Antiqua"/>
        </w:rPr>
        <w:t>ini</w:t>
      </w:r>
      <w:r w:rsidRPr="002B501D">
        <w:rPr>
          <w:rFonts w:ascii="Book Antiqua" w:eastAsia="Book Antiqua" w:hAnsi="Book Antiqua" w:cs="Book Antiqua"/>
          <w:spacing w:val="-1"/>
        </w:rPr>
        <w:t>s</w:t>
      </w:r>
      <w:r w:rsidRPr="002B501D">
        <w:rPr>
          <w:rFonts w:ascii="Book Antiqua" w:eastAsia="Book Antiqua" w:hAnsi="Book Antiqua" w:cs="Book Antiqua"/>
          <w:spacing w:val="1"/>
        </w:rPr>
        <w:t>tr</w:t>
      </w:r>
      <w:r w:rsidRPr="002B501D">
        <w:rPr>
          <w:rFonts w:ascii="Book Antiqua" w:eastAsia="Book Antiqua" w:hAnsi="Book Antiqua" w:cs="Book Antiqua"/>
        </w:rPr>
        <w:t>y</w:t>
      </w:r>
      <w:r w:rsidRPr="002B501D">
        <w:rPr>
          <w:rFonts w:ascii="Book Antiqua" w:eastAsia="Book Antiqua" w:hAnsi="Book Antiqua" w:cs="Book Antiqua"/>
          <w:spacing w:val="1"/>
        </w:rPr>
        <w:t>o</w:t>
      </w:r>
      <w:r w:rsidRPr="002B501D">
        <w:rPr>
          <w:rFonts w:ascii="Book Antiqua" w:eastAsia="Book Antiqua" w:hAnsi="Book Antiqua" w:cs="Book Antiqua"/>
        </w:rPr>
        <w:t>f</w:t>
      </w:r>
      <w:r w:rsidRPr="002B501D">
        <w:rPr>
          <w:rFonts w:ascii="Book Antiqua" w:eastAsia="Book Antiqua" w:hAnsi="Book Antiqua" w:cs="Book Antiqua"/>
          <w:spacing w:val="-2"/>
        </w:rPr>
        <w:t>A</w:t>
      </w:r>
      <w:r w:rsidRPr="002B501D">
        <w:rPr>
          <w:rFonts w:ascii="Book Antiqua" w:eastAsia="Book Antiqua" w:hAnsi="Book Antiqua" w:cs="Book Antiqua"/>
          <w:spacing w:val="1"/>
        </w:rPr>
        <w:t>gr</w:t>
      </w:r>
      <w:r w:rsidRPr="002B501D">
        <w:rPr>
          <w:rFonts w:ascii="Book Antiqua" w:eastAsia="Book Antiqua" w:hAnsi="Book Antiqua" w:cs="Book Antiqua"/>
        </w:rPr>
        <w:t>i</w:t>
      </w:r>
      <w:r w:rsidRPr="002B501D">
        <w:rPr>
          <w:rFonts w:ascii="Book Antiqua" w:eastAsia="Book Antiqua" w:hAnsi="Book Antiqua" w:cs="Book Antiqua"/>
          <w:spacing w:val="-1"/>
        </w:rPr>
        <w:t>cu</w:t>
      </w:r>
      <w:r w:rsidRPr="002B501D">
        <w:rPr>
          <w:rFonts w:ascii="Book Antiqua" w:eastAsia="Book Antiqua" w:hAnsi="Book Antiqua" w:cs="Book Antiqua"/>
        </w:rPr>
        <w:t>l</w:t>
      </w:r>
      <w:r w:rsidRPr="002B501D">
        <w:rPr>
          <w:rFonts w:ascii="Book Antiqua" w:eastAsia="Book Antiqua" w:hAnsi="Book Antiqua" w:cs="Book Antiqua"/>
          <w:spacing w:val="1"/>
        </w:rPr>
        <w:t>t</w:t>
      </w:r>
      <w:r w:rsidRPr="002B501D">
        <w:rPr>
          <w:rFonts w:ascii="Book Antiqua" w:eastAsia="Book Antiqua" w:hAnsi="Book Antiqua" w:cs="Book Antiqua"/>
          <w:spacing w:val="-1"/>
        </w:rPr>
        <w:t>ur</w:t>
      </w:r>
      <w:r w:rsidRPr="002B501D">
        <w:rPr>
          <w:rFonts w:ascii="Book Antiqua" w:eastAsia="Book Antiqua" w:hAnsi="Book Antiqua" w:cs="Book Antiqua"/>
        </w:rPr>
        <w:t>e,</w:t>
      </w:r>
      <w:r w:rsidRPr="002B501D">
        <w:rPr>
          <w:rFonts w:ascii="Book Antiqua" w:eastAsia="Book Antiqua" w:hAnsi="Book Antiqua" w:cs="Book Antiqua"/>
          <w:spacing w:val="1"/>
        </w:rPr>
        <w:t>For</w:t>
      </w:r>
      <w:r w:rsidRPr="002B501D">
        <w:rPr>
          <w:rFonts w:ascii="Book Antiqua" w:eastAsia="Book Antiqua" w:hAnsi="Book Antiqua" w:cs="Book Antiqua"/>
        </w:rPr>
        <w:t>e</w:t>
      </w:r>
      <w:r w:rsidRPr="002B501D">
        <w:rPr>
          <w:rFonts w:ascii="Book Antiqua" w:eastAsia="Book Antiqua" w:hAnsi="Book Antiqua" w:cs="Book Antiqua"/>
          <w:spacing w:val="-1"/>
        </w:rPr>
        <w:t>st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y andR</w:t>
      </w:r>
      <w:r w:rsidRPr="002B501D">
        <w:rPr>
          <w:rFonts w:ascii="Book Antiqua" w:eastAsia="Book Antiqua" w:hAnsi="Book Antiqua" w:cs="Book Antiqua"/>
          <w:spacing w:val="-1"/>
        </w:rPr>
        <w:t>u</w:t>
      </w:r>
      <w:r w:rsidRPr="002B501D">
        <w:rPr>
          <w:rFonts w:ascii="Book Antiqua" w:eastAsia="Book Antiqua" w:hAnsi="Book Antiqua" w:cs="Book Antiqua"/>
          <w:spacing w:val="1"/>
        </w:rPr>
        <w:t>r</w:t>
      </w:r>
      <w:r w:rsidRPr="002B501D">
        <w:rPr>
          <w:rFonts w:ascii="Book Antiqua" w:eastAsia="Book Antiqua" w:hAnsi="Book Antiqua" w:cs="Book Antiqua"/>
        </w:rPr>
        <w:t>al</w:t>
      </w:r>
      <w:r w:rsidRPr="002B501D">
        <w:rPr>
          <w:rFonts w:ascii="Book Antiqua" w:eastAsia="Book Antiqua" w:hAnsi="Book Antiqua" w:cs="Book Antiqua"/>
          <w:spacing w:val="-1"/>
          <w:w w:val="99"/>
        </w:rPr>
        <w:t>D</w:t>
      </w:r>
      <w:r w:rsidRPr="002B501D">
        <w:rPr>
          <w:rFonts w:ascii="Book Antiqua" w:eastAsia="Book Antiqua" w:hAnsi="Book Antiqua" w:cs="Book Antiqua"/>
        </w:rPr>
        <w:t>e</w:t>
      </w:r>
      <w:r w:rsidRPr="002B501D">
        <w:rPr>
          <w:rFonts w:ascii="Book Antiqua" w:eastAsia="Book Antiqua" w:hAnsi="Book Antiqua" w:cs="Book Antiqua"/>
          <w:spacing w:val="1"/>
          <w:w w:val="99"/>
        </w:rPr>
        <w:t>v</w:t>
      </w:r>
      <w:r w:rsidRPr="002B501D">
        <w:rPr>
          <w:rFonts w:ascii="Book Antiqua" w:eastAsia="Book Antiqua" w:hAnsi="Book Antiqua" w:cs="Book Antiqua"/>
        </w:rPr>
        <w:t>el</w:t>
      </w:r>
      <w:r w:rsidRPr="002B501D">
        <w:rPr>
          <w:rFonts w:ascii="Book Antiqua" w:eastAsia="Book Antiqua" w:hAnsi="Book Antiqua" w:cs="Book Antiqua"/>
          <w:spacing w:val="1"/>
          <w:w w:val="99"/>
        </w:rPr>
        <w:t>o</w:t>
      </w:r>
      <w:r w:rsidRPr="002B501D">
        <w:rPr>
          <w:rFonts w:ascii="Book Antiqua" w:eastAsia="Book Antiqua" w:hAnsi="Book Antiqua" w:cs="Book Antiqua"/>
          <w:w w:val="99"/>
        </w:rPr>
        <w:t>p</w:t>
      </w:r>
      <w:r w:rsidRPr="002B501D">
        <w:rPr>
          <w:rFonts w:ascii="Book Antiqua" w:eastAsia="Book Antiqua" w:hAnsi="Book Antiqua" w:cs="Book Antiqua"/>
          <w:spacing w:val="-1"/>
          <w:w w:val="99"/>
        </w:rPr>
        <w:t>m</w:t>
      </w:r>
      <w:r w:rsidRPr="002B501D">
        <w:rPr>
          <w:rFonts w:ascii="Book Antiqua" w:eastAsia="Book Antiqua" w:hAnsi="Book Antiqua" w:cs="Book Antiqua"/>
        </w:rPr>
        <w:t>en</w:t>
      </w: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Pr="006A0770" w:rsidRDefault="006359E8" w:rsidP="006359E8">
      <w:pPr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t>Kompletirani dokumenti (dosijei) trebaju sadržati dokumente u svrstane kao u sledećoj listi i svaka strana treba imati zapisani broj (rukom). Ovaj broj treba biti prikazan na listi pored imena dokumenta. Dosije aplikacije se podnosi u dve fizičke kopije i svi dokumenti fizičkog dosjea se skeniraju i čuvaju u jednom CD-u koji se dostavlja zajedno sa fizičkom kopijom. Savetuju se aplikanti da sačuvaju kopiju dosjea za svoje potrebe.</w:t>
      </w:r>
    </w:p>
    <w:p w:rsidR="006359E8" w:rsidRPr="006A0770" w:rsidRDefault="006359E8" w:rsidP="006359E8">
      <w:pPr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t xml:space="preserve">U slučaju nedostatka nekog obaveznog dokumenta, službenik ARP-a neće primiti aplikaciju, već registruje aplikanta i predaje mu kopiju ovog </w:t>
      </w:r>
      <w:r>
        <w:rPr>
          <w:rFonts w:ascii="Book Antiqua" w:hAnsi="Book Antiqua" w:cs="Arial"/>
          <w:lang w:val="sr-Latn-CS"/>
        </w:rPr>
        <w:t>aneksa</w:t>
      </w:r>
      <w:r w:rsidRPr="006A0770">
        <w:rPr>
          <w:rFonts w:ascii="Book Antiqua" w:hAnsi="Book Antiqua" w:cs="Arial"/>
          <w:lang w:val="sr-Latn-CS"/>
        </w:rPr>
        <w:t xml:space="preserve"> zaokuržujući dokumente koji nedostaju aplikantu. Aplikant ima rok do kraja poziva za apliciranje da upotpuni dokumente.</w:t>
      </w:r>
    </w:p>
    <w:p w:rsidR="006359E8" w:rsidRPr="006A0770" w:rsidRDefault="006359E8" w:rsidP="006359E8">
      <w:pPr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t xml:space="preserve">U slučaju kada se traže samo kopije dokumenata, aplikant ručno napiše na kopiji „kao u originalu” i podnosi original na uvid regionalnom službeniku koji proverava usklađenost kopije i vraća original aplikantu. Predlaže se </w:t>
      </w:r>
      <w:r>
        <w:rPr>
          <w:rFonts w:ascii="Book Antiqua" w:hAnsi="Book Antiqua" w:cs="Arial"/>
          <w:lang w:val="sr-Latn-CS"/>
        </w:rPr>
        <w:t xml:space="preserve">od </w:t>
      </w:r>
      <w:r w:rsidRPr="006A0770">
        <w:rPr>
          <w:rFonts w:ascii="Book Antiqua" w:hAnsi="Book Antiqua" w:cs="Arial"/>
          <w:lang w:val="sr-Latn-CS"/>
        </w:rPr>
        <w:t>Radn</w:t>
      </w:r>
      <w:r>
        <w:rPr>
          <w:rFonts w:ascii="Book Antiqua" w:hAnsi="Book Antiqua" w:cs="Arial"/>
          <w:lang w:val="sr-Latn-CS"/>
        </w:rPr>
        <w:t>e</w:t>
      </w:r>
      <w:r w:rsidRPr="006A0770">
        <w:rPr>
          <w:rFonts w:ascii="Book Antiqua" w:hAnsi="Book Antiqua" w:cs="Arial"/>
          <w:lang w:val="sr-Latn-CS"/>
        </w:rPr>
        <w:t xml:space="preserve"> grup</w:t>
      </w:r>
      <w:r>
        <w:rPr>
          <w:rFonts w:ascii="Book Antiqua" w:hAnsi="Book Antiqua" w:cs="Arial"/>
          <w:lang w:val="sr-Latn-CS"/>
        </w:rPr>
        <w:t>e</w:t>
      </w:r>
      <w:r w:rsidRPr="006A0770">
        <w:rPr>
          <w:rFonts w:ascii="Book Antiqua" w:hAnsi="Book Antiqua" w:cs="Arial"/>
          <w:lang w:val="sr-Latn-CS"/>
        </w:rPr>
        <w:t xml:space="preserve"> za pružanje mogućnosti za kompletiranje aplikacije od strane ARP-a.</w:t>
      </w:r>
    </w:p>
    <w:p w:rsidR="006359E8" w:rsidRDefault="006359E8" w:rsidP="006359E8">
      <w:pPr>
        <w:jc w:val="both"/>
        <w:rPr>
          <w:rFonts w:ascii="Book Antiqua" w:hAnsi="Book Antiqua"/>
          <w:lang w:val="sq-AL"/>
        </w:rPr>
      </w:pPr>
      <w:r w:rsidRPr="006A0770">
        <w:rPr>
          <w:rFonts w:ascii="Book Antiqua" w:hAnsi="Book Antiqua"/>
          <w:bCs/>
          <w:iCs/>
          <w:lang w:val="sr-Latn-CS"/>
        </w:rPr>
        <w:t>Aplikanti se savetuju da apliciraju najmanje 5 dana pre isteka roka za aplikaciju, da ima mogućnosti da kompletiraju svoju dokumentaciju u slučaju nedostatka bilo kog dokumenta.</w:t>
      </w: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198"/>
        <w:gridCol w:w="5697"/>
        <w:gridCol w:w="609"/>
        <w:gridCol w:w="532"/>
      </w:tblGrid>
      <w:tr w:rsidR="006359E8" w:rsidRPr="006A0770" w:rsidTr="00277B87">
        <w:trPr>
          <w:cantSplit/>
          <w:trHeight w:val="1487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DOKUMENAT</w:t>
            </w:r>
          </w:p>
        </w:tc>
        <w:tc>
          <w:tcPr>
            <w:tcW w:w="609" w:type="dxa"/>
            <w:textDirection w:val="btLr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Obavezujuće</w:t>
            </w:r>
          </w:p>
        </w:tc>
        <w:tc>
          <w:tcPr>
            <w:tcW w:w="532" w:type="dxa"/>
            <w:textDirection w:val="btLr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Opciono </w:t>
            </w:r>
          </w:p>
        </w:tc>
      </w:tr>
      <w:tr w:rsidR="006359E8" w:rsidRPr="006A0770" w:rsidTr="00277B87">
        <w:trPr>
          <w:cantSplit/>
          <w:trHeight w:val="970"/>
        </w:trPr>
        <w:tc>
          <w:tcPr>
            <w:tcW w:w="606" w:type="dxa"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OBRAZAC ZA APLICIRANJE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Treba biti u skladu sa modelom </w:t>
            </w:r>
            <w:r>
              <w:rPr>
                <w:rFonts w:ascii="Book Antiqua" w:hAnsi="Book Antiqua"/>
                <w:sz w:val="22"/>
                <w:szCs w:val="22"/>
                <w:lang w:val="sr-Latn-CS"/>
              </w:rPr>
              <w:t>ARP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-a, preporučuje se da bude ispunjen na elektronski način.</w:t>
            </w:r>
            <w:r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f. 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262255</wp:posOffset>
                      </wp:positionV>
                      <wp:extent cx="90805" cy="97790"/>
                      <wp:effectExtent l="0" t="0" r="23495" b="16510"/>
                      <wp:wrapNone/>
                      <wp:docPr id="469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E62C" id="Rectangle 469" o:spid="_x0000_s1026" style="position:absolute;margin-left:1.8pt;margin-top:20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ShIQIAAD0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"/>
                  </w:pict>
                </mc:Fallback>
              </mc:AlternateConten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----</w:t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c>
          <w:tcPr>
            <w:tcW w:w="606" w:type="dxa"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KOPIJA LIČNE KARTE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Službenik proverava u prisustvu aplikanta da li je lična karta izdata od Republike Kosovo i da li je važeća u trenutku apliciranja. 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196215</wp:posOffset>
                      </wp:positionV>
                      <wp:extent cx="90805" cy="97790"/>
                      <wp:effectExtent l="0" t="0" r="23495" b="16510"/>
                      <wp:wrapNone/>
                      <wp:docPr id="468" name="Rectangl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0D51" id="Rectangle 468" o:spid="_x0000_s1026" style="position:absolute;margin-left:2.95pt;margin-top:15.45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rDIAIAAD0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"/>
                  </w:pict>
                </mc:Fallback>
              </mc:AlternateConten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-----</w:t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768"/>
        </w:trPr>
        <w:tc>
          <w:tcPr>
            <w:tcW w:w="606" w:type="dxa"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IZVOD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ROĐENIH, kopija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c>
          <w:tcPr>
            <w:tcW w:w="606" w:type="dxa"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OBRAZAC ZA POKAZATELJE ispunjen (u originalu)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U prisustvu aplikanta, službenik proverava da li je obrazac za pokazatelje ispunjen kako treba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636"/>
        </w:trPr>
        <w:tc>
          <w:tcPr>
            <w:tcW w:w="606" w:type="dxa"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TEKUĆI RAČUN,</w:t>
            </w:r>
            <w:r w:rsidRPr="006A0770">
              <w:rPr>
                <w:rFonts w:ascii="ArialMT" w:hAnsi="ArialMT" w:cs="ArialMT"/>
                <w:sz w:val="19"/>
                <w:szCs w:val="19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dokumenat izdat i pečatiran (u originalu) od strane banke koja radi na Kosovu.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c>
          <w:tcPr>
            <w:tcW w:w="606" w:type="dxa"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U slučajevima pravnih lica: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50AD9">
              <w:rPr>
                <w:rFonts w:ascii="Book Antiqua" w:hAnsi="Book Antiqua"/>
                <w:b/>
                <w:caps/>
                <w:sz w:val="22"/>
                <w:szCs w:val="22"/>
                <w:lang w:val="sr-Latn-CS"/>
              </w:rPr>
              <w:t>Sertifikat</w:t>
            </w:r>
            <w:r w:rsidRPr="00350AD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 FISKALNOM BROJU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– kopija i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7C1AB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SERTIFIKAT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 REGISTRACIJI BIZNISA-kopija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a) NACRT – PREDLOGA –</w:t>
            </w:r>
            <w:r w:rsidRPr="006A0770">
              <w:rPr>
                <w:rFonts w:ascii="ArialMT" w:hAnsi="ArialMT" w:cs="ArialMT"/>
                <w:sz w:val="19"/>
                <w:szCs w:val="19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U slučajevima projekata u vrednosti do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20.000 €;</w:t>
            </w:r>
          </w:p>
          <w:p w:rsidR="006359E8" w:rsidRPr="006A0770" w:rsidRDefault="006359E8" w:rsidP="00277B8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b) BIZNIS PLAN –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U slučajevima projekata u vrednosti preko 20.000 €;</w:t>
            </w:r>
          </w:p>
          <w:p w:rsidR="006359E8" w:rsidRPr="006A0770" w:rsidRDefault="006359E8" w:rsidP="00277B87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c) NACRT PROJEKTA O MERI 302.4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(vidi </w:t>
            </w:r>
            <w:r>
              <w:rPr>
                <w:rFonts w:ascii="Book Antiqua" w:hAnsi="Book Antiqua"/>
                <w:sz w:val="22"/>
                <w:szCs w:val="22"/>
                <w:lang w:val="sr-Latn-CS"/>
              </w:rPr>
              <w:t>Aneks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4)</w:t>
            </w:r>
          </w:p>
          <w:p w:rsidR="006359E8" w:rsidRPr="006A0770" w:rsidRDefault="006359E8" w:rsidP="00277B8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Treba biti po modelu ARP-a.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14300"/>
                  <wp:effectExtent l="0" t="0" r="9525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534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spacing w:after="200" w:line="276" w:lineRule="auto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7C1AB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SERTIFIKAT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 REGISTRACIJI U REGISTRU FARMI (IBF)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980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6359E8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ascii="Book Antiqua" w:eastAsia="Calibri" w:hAnsi="Book Antiqua" w:cs="Arial"/>
                <w:b/>
                <w:color w:val="000000"/>
                <w:lang w:val="sr-Latn-CS" w:eastAsia="sq-AL"/>
              </w:rPr>
            </w:pPr>
            <w:r w:rsidRPr="00185272">
              <w:rPr>
                <w:rFonts w:ascii="Book Antiqua" w:hAnsi="Book Antiqua"/>
                <w:b/>
                <w:lang w:val="sr-Latn-CS"/>
              </w:rPr>
              <w:t>Diploma ili</w:t>
            </w:r>
            <w:r w:rsidRPr="006A0770">
              <w:rPr>
                <w:rFonts w:ascii="Book Antiqua" w:hAnsi="Book Antiqua"/>
                <w:b/>
                <w:lang w:val="sr-Latn-CS"/>
              </w:rPr>
              <w:t xml:space="preserve"> potvrda o obaveznom obrazovanju (8 ili 9 godina) (u slučaju pravnog lica to važi za vlasnika/ovlašćeno lice);</w:t>
            </w:r>
          </w:p>
          <w:p w:rsidR="006359E8" w:rsidRPr="006A0770" w:rsidRDefault="006359E8" w:rsidP="00277B87">
            <w:pPr>
              <w:shd w:val="clear" w:color="auto" w:fill="FFFFFF"/>
              <w:spacing w:after="0"/>
              <w:jc w:val="both"/>
              <w:rPr>
                <w:rFonts w:ascii="Book Antiqua" w:eastAsia="Calibri" w:hAnsi="Book Antiqua" w:cs="Arial"/>
                <w:color w:val="000000"/>
                <w:lang w:val="sr-Latn-CS" w:eastAsia="sq-AL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678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10.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6359E8">
            <w:pPr>
              <w:numPr>
                <w:ilvl w:val="0"/>
                <w:numId w:val="16"/>
              </w:numPr>
              <w:spacing w:line="240" w:lineRule="auto"/>
              <w:ind w:left="540"/>
              <w:contextualSpacing/>
              <w:rPr>
                <w:rFonts w:ascii="Book Antiqua" w:eastAsia="Calibri" w:hAnsi="Book Antiqua" w:cs="Arial"/>
                <w:color w:val="000000"/>
                <w:lang w:val="sr-Latn-CS" w:eastAsia="sq-AL"/>
              </w:rPr>
            </w:pPr>
            <w:r w:rsidRPr="006A0770">
              <w:rPr>
                <w:rFonts w:ascii="Book Antiqua" w:hAnsi="Book Antiqua"/>
                <w:lang w:val="sr-Latn-CS"/>
              </w:rPr>
              <w:t xml:space="preserve"> </w:t>
            </w:r>
            <w:r w:rsidRPr="006A0770">
              <w:rPr>
                <w:rFonts w:ascii="Book Antiqua" w:eastAsia="Calibri" w:hAnsi="Book Antiqua" w:cs="Arial"/>
                <w:color w:val="000000"/>
                <w:lang w:val="sr-Latn-CS" w:eastAsia="sq-AL"/>
              </w:rPr>
              <w:t xml:space="preserve">Posedovni list i kopija obaveznog plana za sve aplikante; 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F_</w:t>
            </w:r>
          </w:p>
          <w:p w:rsidR="006359E8" w:rsidRPr="006A0770" w:rsidRDefault="006359E8" w:rsidP="00277B87">
            <w:pPr>
              <w:rPr>
                <w:lang w:val="sr-Latn-CS"/>
              </w:rPr>
            </w:pPr>
            <w:r w:rsidRPr="0065298E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899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shd w:val="clear" w:color="auto" w:fill="FFFFFF"/>
              <w:spacing w:after="0"/>
              <w:jc w:val="both"/>
              <w:rPr>
                <w:rFonts w:ascii="Book Antiqua" w:eastAsia="Calibri" w:hAnsi="Book Antiqua" w:cs="Arial"/>
                <w:color w:val="000000"/>
                <w:lang w:val="sr-Latn-CS" w:eastAsia="sq-AL"/>
              </w:rPr>
            </w:pPr>
            <w:r w:rsidRPr="006A0770">
              <w:rPr>
                <w:rFonts w:ascii="Book Antiqua" w:eastAsia="Calibri" w:hAnsi="Book Antiqua" w:cs="Arial"/>
                <w:color w:val="000000"/>
                <w:lang w:val="sr-Latn-CS" w:eastAsia="sq-AL"/>
              </w:rPr>
              <w:t>U slučaju projekata izgradnje/proširenja/renoviranja, u slučaj</w:t>
            </w:r>
            <w:r>
              <w:rPr>
                <w:rFonts w:ascii="Book Antiqua" w:eastAsia="Calibri" w:hAnsi="Book Antiqua" w:cs="Arial"/>
                <w:color w:val="000000"/>
                <w:lang w:val="sr-Latn-CS" w:eastAsia="sq-AL"/>
              </w:rPr>
              <w:t>u aplikacije, se moraju podneti</w:t>
            </w:r>
            <w:r w:rsidRPr="006A0770">
              <w:rPr>
                <w:rFonts w:ascii="Book Antiqua" w:eastAsia="Calibri" w:hAnsi="Book Antiqua" w:cs="Arial"/>
                <w:color w:val="000000"/>
                <w:lang w:val="sr-Latn-CS" w:eastAsia="sq-AL"/>
              </w:rPr>
              <w:t>:</w:t>
            </w:r>
          </w:p>
          <w:p w:rsidR="006359E8" w:rsidRPr="00185272" w:rsidRDefault="006359E8" w:rsidP="006359E8">
            <w:pPr>
              <w:pStyle w:val="NoSpacing"/>
              <w:numPr>
                <w:ilvl w:val="0"/>
                <w:numId w:val="17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185272">
              <w:rPr>
                <w:rFonts w:ascii="Book Antiqua" w:hAnsi="Book Antiqua"/>
                <w:sz w:val="22"/>
                <w:szCs w:val="22"/>
                <w:lang w:val="sr-Latn-CS"/>
              </w:rPr>
              <w:t>Kopije skica;</w:t>
            </w:r>
          </w:p>
          <w:p w:rsidR="006359E8" w:rsidRPr="00185272" w:rsidRDefault="006359E8" w:rsidP="006359E8">
            <w:pPr>
              <w:pStyle w:val="NoSpacing"/>
              <w:numPr>
                <w:ilvl w:val="0"/>
                <w:numId w:val="17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185272">
              <w:rPr>
                <w:rFonts w:ascii="Book Antiqua" w:hAnsi="Book Antiqua"/>
                <w:sz w:val="22"/>
                <w:szCs w:val="22"/>
                <w:lang w:val="sr-Latn-CS"/>
              </w:rPr>
              <w:t xml:space="preserve">Predračun troškova za materijale i rad; </w:t>
            </w:r>
          </w:p>
          <w:p w:rsidR="006359E8" w:rsidRPr="00185272" w:rsidRDefault="006359E8" w:rsidP="006359E8">
            <w:pPr>
              <w:pStyle w:val="NoSpacing"/>
              <w:numPr>
                <w:ilvl w:val="0"/>
                <w:numId w:val="17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185272">
              <w:rPr>
                <w:rFonts w:ascii="Book Antiqua" w:hAnsi="Book Antiqua"/>
                <w:sz w:val="22"/>
                <w:szCs w:val="22"/>
                <w:lang w:val="sr-Latn-CS"/>
              </w:rPr>
              <w:t xml:space="preserve">Posedovni list i kopija obaveznog plana za sve aplikante; </w:t>
            </w:r>
          </w:p>
          <w:p w:rsidR="006359E8" w:rsidRPr="00185272" w:rsidRDefault="006359E8" w:rsidP="006359E8">
            <w:pPr>
              <w:pStyle w:val="NoSpacing"/>
              <w:numPr>
                <w:ilvl w:val="0"/>
                <w:numId w:val="17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185272">
              <w:rPr>
                <w:rFonts w:ascii="Book Antiqua" w:hAnsi="Book Antiqua"/>
                <w:sz w:val="22"/>
                <w:szCs w:val="22"/>
                <w:lang w:val="sr-Latn-CS"/>
              </w:rPr>
              <w:t>Ukoliko je zemljište zakupljeno – ugovor o zakupu zakupa na najmanje 10 godina za parcelu ili objekat u kome će se vršiti izgradnja/proširenje/renoviranje, dok za projekte koji ne predviđaju izgradnju/proširenje/renoviranje u tuđoj svojini, dovoljno je overen ugovor zakupa na 5 godina;</w:t>
            </w:r>
          </w:p>
          <w:p w:rsidR="006359E8" w:rsidRPr="006A0770" w:rsidRDefault="006359E8" w:rsidP="00277B87">
            <w:pPr>
              <w:pStyle w:val="NoSpacing"/>
              <w:ind w:left="810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333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1358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sz w:val="22"/>
                <w:szCs w:val="22"/>
                <w:lang w:val="sr-Latn-CS"/>
              </w:rPr>
              <w:t xml:space="preserve">     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Za pravna lica: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POTVRDA</w:t>
            </w:r>
            <w:r w:rsidRPr="006A0770">
              <w:rPr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od strane Poreske administracije Kosova koja dokazuje da podnosilac zahteva mora da plati porez na dobit (original)</w:t>
            </w: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Za fizička lica: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POTVRDA</w:t>
            </w:r>
            <w:r w:rsidRPr="006A0770">
              <w:rPr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od strane opštine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da je plaćen porez na imovinu (original)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620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OVLAŠĆENJE –</w:t>
            </w:r>
            <w:r w:rsidRPr="006A0770">
              <w:rPr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u slučaju aplikacije koja se vrši preko ovlašćenog lica, prihvata se samo ovlašćenjem overenim od strane notara.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Ovlašćenje samo za proces aplikacije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lastRenderedPageBreak/>
              <w:t>Ovlašćenje za predstavnika kompanije (a ne vlasnika) i ugovora između predstavnika i kompanije.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lastRenderedPageBreak/>
              <w:t>f.</w:t>
            </w:r>
            <w:r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___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143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620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lastRenderedPageBreak/>
              <w:t>14.</w:t>
            </w: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893080">
              <w:rPr>
                <w:rFonts w:ascii="Book Antiqua" w:hAnsi="Book Antiqua"/>
                <w:b/>
                <w:sz w:val="24"/>
                <w:szCs w:val="22"/>
                <w:lang w:val="sr-Latn-CS"/>
              </w:rPr>
              <w:t xml:space="preserve">Izjava </w:t>
            </w:r>
            <w:r w:rsidRPr="00893080">
              <w:rPr>
                <w:rFonts w:ascii="Book Antiqua" w:eastAsia="Calibri" w:hAnsi="Book Antiqua"/>
                <w:color w:val="000000"/>
                <w:sz w:val="22"/>
                <w:lang w:val="sr-Latn-CS" w:eastAsia="sq-AL"/>
              </w:rPr>
              <w:t>da će u slučaju dobijanja granta, pre zahteva za plaćanje, ugovoriti savetodavca ili licenciranu kompaniju za savetodavne usluge od strane MPŠRR-a na osnovu notarizovanog ugovora. (Pčelarstvo i seoski turizam)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 w:eastAsia="en-U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 w:eastAsia="en-U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143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895" w:type="dxa"/>
            <w:gridSpan w:val="2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966"/>
        </w:trPr>
        <w:tc>
          <w:tcPr>
            <w:tcW w:w="606" w:type="dxa"/>
            <w:vMerge w:val="restart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2198" w:type="dxa"/>
            <w:vMerge w:val="restart"/>
          </w:tcPr>
          <w:p w:rsidR="006359E8" w:rsidRPr="006A0770" w:rsidRDefault="006359E8" w:rsidP="00277B87">
            <w:pPr>
              <w:rPr>
                <w:lang w:val="sr-Latn-CS"/>
              </w:rPr>
            </w:pPr>
            <w:r w:rsidRPr="006A0770">
              <w:rPr>
                <w:rFonts w:ascii="Book Antiqua" w:hAnsi="Book Antiqua"/>
                <w:b/>
                <w:lang w:val="sr-Latn-CS"/>
              </w:rPr>
              <w:t xml:space="preserve">302.1 </w:t>
            </w:r>
            <w:r w:rsidRPr="006A0770">
              <w:rPr>
                <w:rFonts w:ascii="Book Antiqua" w:eastAsia="MS Mincho" w:hAnsi="Book Antiqua"/>
                <w:b/>
                <w:lang w:val="sr-Latn-CS" w:eastAsia="de-DE"/>
              </w:rPr>
              <w:t>Proizvodnja meda</w:t>
            </w:r>
          </w:p>
        </w:tc>
        <w:tc>
          <w:tcPr>
            <w:tcW w:w="5697" w:type="dxa"/>
            <w:tcBorders>
              <w:bottom w:val="nil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1.</w:t>
            </w:r>
            <w:r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Sertifikat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za organsku proizvodnju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rPr>
          <w:trHeight w:val="804"/>
        </w:trPr>
        <w:tc>
          <w:tcPr>
            <w:tcW w:w="606" w:type="dxa"/>
            <w:vMerge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5697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2. </w:t>
            </w:r>
            <w:r w:rsidRPr="00350AD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Sertifikat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o registraciji biznisa 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893080">
              <w:rPr>
                <w:rFonts w:ascii="Book Antiqua" w:hAnsi="Book Antiqua"/>
                <w:sz w:val="22"/>
                <w:lang w:val="sr-Latn-CS"/>
              </w:rPr>
              <w:t>Aplikant je registrovan kao proizvođač/prerađivač meda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rPr>
          <w:trHeight w:val="1416"/>
        </w:trPr>
        <w:tc>
          <w:tcPr>
            <w:tcW w:w="606" w:type="dxa"/>
            <w:vMerge w:val="restart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2198" w:type="dxa"/>
            <w:vMerge w:val="restart"/>
          </w:tcPr>
          <w:p w:rsidR="006359E8" w:rsidRPr="00350AD9" w:rsidRDefault="006359E8" w:rsidP="00277B87">
            <w:pPr>
              <w:pStyle w:val="NoSpacing"/>
              <w:rPr>
                <w:rFonts w:ascii="Book Antiqua" w:hAnsi="Book Antiqua"/>
                <w:b/>
                <w:sz w:val="24"/>
                <w:szCs w:val="22"/>
                <w:lang w:val="sr-Latn-CS"/>
              </w:rPr>
            </w:pPr>
            <w:r w:rsidRPr="00350AD9">
              <w:rPr>
                <w:rFonts w:ascii="Book Antiqua" w:hAnsi="Book Antiqua"/>
                <w:b/>
                <w:sz w:val="24"/>
                <w:szCs w:val="22"/>
                <w:lang w:val="sr-Latn-CS"/>
              </w:rPr>
              <w:t xml:space="preserve">302.2 : </w:t>
            </w:r>
            <w:r w:rsidRPr="00350AD9">
              <w:rPr>
                <w:rFonts w:ascii="Book Antiqua" w:eastAsia="Calibri" w:hAnsi="Book Antiqua"/>
                <w:b/>
                <w:color w:val="000000"/>
                <w:sz w:val="22"/>
                <w:lang w:val="sr-Latn-CS" w:eastAsia="sq-AL"/>
              </w:rPr>
              <w:t>Prerada poljoprivrednih proizvoda u domaćinstvu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1.</w:t>
            </w:r>
            <w:r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b/>
                <w:bCs/>
                <w:sz w:val="22"/>
                <w:szCs w:val="22"/>
                <w:lang w:val="sr-Latn-CS"/>
              </w:rPr>
              <w:t>Iskustvo domaćinstva</w:t>
            </w: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11"/>
              </w:numPr>
              <w:spacing w:after="200" w:line="276" w:lineRule="auto"/>
              <w:rPr>
                <w:rFonts w:ascii="Book Antiqua" w:hAnsi="Book Antiqua"/>
                <w:b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bCs/>
                <w:sz w:val="22"/>
                <w:szCs w:val="22"/>
                <w:lang w:val="sr-Latn-CS"/>
              </w:rPr>
              <w:t>Fizičko lice – pisana izjava i IBF i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Pravno lice - </w:t>
            </w:r>
            <w:r w:rsidRPr="00350AD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Sertifikat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 registraciji biznisa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rPr>
          <w:trHeight w:val="1065"/>
        </w:trPr>
        <w:tc>
          <w:tcPr>
            <w:tcW w:w="606" w:type="dxa"/>
            <w:vMerge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2. U slučaju proizvodnje vina: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Potvrda od strane Katastarskog registra vinograda; manje od 3 hektara vinograda;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Del="00C310C2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rPr>
          <w:trHeight w:val="894"/>
        </w:trPr>
        <w:tc>
          <w:tcPr>
            <w:tcW w:w="606" w:type="dxa"/>
            <w:vMerge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3. U slučaju mleka: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b) pismenu izjavu - da će kapacitet prerade bude preko 500 litara mleka dnevno;</w:t>
            </w: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</w:p>
          <w:p w:rsidR="006359E8" w:rsidRPr="006A0770" w:rsidRDefault="006359E8" w:rsidP="00277B87">
            <w:pPr>
              <w:pStyle w:val="NoSpacing"/>
              <w:ind w:left="270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bCs/>
                <w:lang w:val="sr-Latn-CS"/>
              </w:rPr>
              <w:t xml:space="preserve"> 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c>
          <w:tcPr>
            <w:tcW w:w="606" w:type="dxa"/>
          </w:tcPr>
          <w:p w:rsidR="006359E8" w:rsidRPr="006A0770" w:rsidRDefault="006359E8" w:rsidP="00277B8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2198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302.3 </w:t>
            </w:r>
            <w:r w:rsidRPr="006A0770">
              <w:rPr>
                <w:rFonts w:ascii="Book Antiqua" w:eastAsia="Calibri" w:hAnsi="Book Antiqua"/>
                <w:b/>
                <w:color w:val="000000"/>
                <w:sz w:val="22"/>
                <w:szCs w:val="22"/>
                <w:lang w:val="sr-Latn-CS" w:eastAsia="sq-AL"/>
              </w:rPr>
              <w:t>Razvijanje zanatskih aktivnosti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1. Iskustvo domaćinstva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Fizička lica – IBF ili pismenu izjava;</w:t>
            </w:r>
          </w:p>
          <w:p w:rsidR="006359E8" w:rsidRPr="006A0770" w:rsidRDefault="006359E8" w:rsidP="006359E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szCs w:val="22"/>
                <w:highlight w:val="yellow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Pravna lica – Potvrda o registraciji biznisa </w:t>
            </w:r>
          </w:p>
        </w:tc>
        <w:tc>
          <w:tcPr>
            <w:tcW w:w="609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rPr>
          <w:trHeight w:val="1786"/>
        </w:trPr>
        <w:tc>
          <w:tcPr>
            <w:tcW w:w="606" w:type="dxa"/>
            <w:vMerge w:val="restart"/>
          </w:tcPr>
          <w:p w:rsidR="006359E8" w:rsidRPr="006A0770" w:rsidRDefault="006359E8" w:rsidP="00277B8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2198" w:type="dxa"/>
            <w:vMerge w:val="restart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302.4 </w:t>
            </w:r>
          </w:p>
          <w:p w:rsidR="006359E8" w:rsidRPr="006A0770" w:rsidRDefault="006359E8" w:rsidP="00277B87">
            <w:pPr>
              <w:keepNext/>
              <w:spacing w:after="0"/>
              <w:jc w:val="both"/>
              <w:outlineLvl w:val="2"/>
              <w:rPr>
                <w:rFonts w:ascii="Book Antiqua" w:eastAsia="Calibri" w:hAnsi="Book Antiqua"/>
                <w:b/>
                <w:color w:val="000000"/>
                <w:lang w:val="sr-Latn-CS" w:eastAsia="sq-AL"/>
              </w:rPr>
            </w:pPr>
            <w:r w:rsidRPr="006A0770">
              <w:rPr>
                <w:rFonts w:ascii="Book Antiqua" w:eastAsia="Calibri" w:hAnsi="Book Antiqua"/>
                <w:b/>
                <w:color w:val="000000"/>
                <w:lang w:val="sr-Latn-CS" w:eastAsia="sq-AL"/>
              </w:rPr>
              <w:t xml:space="preserve">Razvijanje </w:t>
            </w:r>
            <w:r>
              <w:rPr>
                <w:rFonts w:ascii="Book Antiqua" w:eastAsia="Calibri" w:hAnsi="Book Antiqua"/>
                <w:b/>
                <w:color w:val="000000"/>
                <w:lang w:val="sr-Latn-CS" w:eastAsia="sq-AL"/>
              </w:rPr>
              <w:t xml:space="preserve">ruralnog </w:t>
            </w:r>
            <w:r w:rsidRPr="006A0770">
              <w:rPr>
                <w:rFonts w:ascii="Book Antiqua" w:eastAsia="Calibri" w:hAnsi="Book Antiqua"/>
                <w:b/>
                <w:color w:val="000000"/>
                <w:lang w:val="sr-Latn-CS" w:eastAsia="sq-AL"/>
              </w:rPr>
              <w:t>turizma</w:t>
            </w:r>
          </w:p>
          <w:p w:rsidR="006359E8" w:rsidRPr="006A0770" w:rsidRDefault="006359E8" w:rsidP="00277B87">
            <w:pPr>
              <w:rPr>
                <w:lang w:val="sr-Latn-CS"/>
              </w:rPr>
            </w:pPr>
          </w:p>
          <w:p w:rsidR="006359E8" w:rsidRPr="006A0770" w:rsidRDefault="006359E8" w:rsidP="00277B87">
            <w:pPr>
              <w:rPr>
                <w:lang w:val="sr-Latn-CS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6359E8" w:rsidRPr="006A0770" w:rsidRDefault="006359E8" w:rsidP="006359E8">
            <w:pPr>
              <w:pStyle w:val="NoSpacing"/>
              <w:numPr>
                <w:ilvl w:val="0"/>
                <w:numId w:val="6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Iskustvo domaćinstva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u aktivnostima pružanja usluga seoskog turizma, 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spacing w:after="200" w:line="276" w:lineRule="auto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a)</w:t>
            </w:r>
            <w:r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 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Fizička lica – IBF ili pismenu izjava;</w:t>
            </w:r>
          </w:p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b)</w:t>
            </w:r>
            <w:r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Pravna lica – Potvrda o registraciji biznisa 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rPr>
          <w:trHeight w:val="975"/>
        </w:trPr>
        <w:tc>
          <w:tcPr>
            <w:tcW w:w="606" w:type="dxa"/>
            <w:vMerge/>
          </w:tcPr>
          <w:p w:rsidR="006359E8" w:rsidRPr="006A0770" w:rsidRDefault="006359E8" w:rsidP="00277B8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6359E8" w:rsidRPr="006A0770" w:rsidRDefault="006359E8" w:rsidP="006359E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Dokaz da je objekat/zgrada koja će se</w:t>
            </w:r>
            <w:r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renovirati na spisku svetske kulturne baštine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E8" w:rsidRPr="006A0770" w:rsidTr="00277B87">
        <w:trPr>
          <w:trHeight w:val="730"/>
        </w:trPr>
        <w:tc>
          <w:tcPr>
            <w:tcW w:w="606" w:type="dxa"/>
            <w:vMerge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6359E8">
            <w:pPr>
              <w:pStyle w:val="NoSpacing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Idejni projekat uramljena slika zgrade, pripremljen od strane arhitekte.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876"/>
        </w:trPr>
        <w:tc>
          <w:tcPr>
            <w:tcW w:w="606" w:type="dxa"/>
            <w:vMerge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6359E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Fotografije postojećih objekata;</w:t>
            </w:r>
          </w:p>
          <w:p w:rsidR="006359E8" w:rsidRPr="006A0770" w:rsidDel="00B53829" w:rsidRDefault="006359E8" w:rsidP="00277B87">
            <w:pPr>
              <w:jc w:val="both"/>
              <w:rPr>
                <w:rFonts w:ascii="Book Antiqua" w:eastAsia="MS Mincho" w:hAnsi="Book Antiqua"/>
                <w:b/>
                <w:lang w:val="sr-Latn-CS"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1782"/>
        </w:trPr>
        <w:tc>
          <w:tcPr>
            <w:tcW w:w="606" w:type="dxa"/>
            <w:vMerge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6359E8" w:rsidRPr="006A0770" w:rsidRDefault="006359E8" w:rsidP="006359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r-Latn-CS"/>
              </w:rPr>
            </w:pPr>
            <w:r w:rsidRPr="006A0770">
              <w:rPr>
                <w:rFonts w:ascii="Book Antiqua" w:hAnsi="Book Antiqua"/>
                <w:b/>
                <w:lang w:val="sr-Latn-CS"/>
              </w:rPr>
              <w:t>Notarizovana saglasnost vlasnika</w:t>
            </w:r>
            <w:r w:rsidRPr="006A0770">
              <w:rPr>
                <w:rFonts w:ascii="Book Antiqua" w:hAnsi="Book Antiqua"/>
                <w:lang w:val="sr-Latn-CS"/>
              </w:rPr>
              <w:t>, odnosno</w:t>
            </w:r>
            <w:r w:rsidRPr="006A0770">
              <w:rPr>
                <w:lang w:val="sr-Latn-CS"/>
              </w:rPr>
              <w:t xml:space="preserve"> </w:t>
            </w:r>
            <w:r w:rsidRPr="006A0770">
              <w:rPr>
                <w:rFonts w:ascii="Book Antiqua" w:hAnsi="Book Antiqua"/>
                <w:b/>
                <w:lang w:val="sr-Latn-CS"/>
              </w:rPr>
              <w:t>zvanična saglasnost javnog organa</w:t>
            </w:r>
            <w:r w:rsidRPr="006A0770">
              <w:rPr>
                <w:lang w:val="sr-Latn-CS"/>
              </w:rPr>
              <w:t xml:space="preserve"> </w:t>
            </w:r>
            <w:r w:rsidRPr="000818EC">
              <w:rPr>
                <w:rFonts w:ascii="Book Antiqua" w:hAnsi="Book Antiqua"/>
                <w:lang w:val="sr-Latn-CS"/>
              </w:rPr>
              <w:t>u slučaju investicije u izgradnju pešačkih i biciklističkih staza oko seoskih turističkih objekata</w:t>
            </w:r>
            <w:r w:rsidRPr="006A0770">
              <w:rPr>
                <w:rFonts w:ascii="Book Antiqua" w:hAnsi="Book Antiqua"/>
                <w:lang w:val="sr-Latn-CS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6359E8" w:rsidRPr="006A0770" w:rsidTr="00277B87">
        <w:trPr>
          <w:trHeight w:val="944"/>
        </w:trPr>
        <w:tc>
          <w:tcPr>
            <w:tcW w:w="606" w:type="dxa"/>
            <w:vMerge/>
          </w:tcPr>
          <w:p w:rsidR="006359E8" w:rsidRPr="006A0770" w:rsidRDefault="006359E8" w:rsidP="006359E8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198" w:type="dxa"/>
            <w:vMerge/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6359E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Book Antiqua" w:hAnsi="Book Antiqua"/>
                <w:lang w:val="sr-Latn-CS"/>
              </w:rPr>
            </w:pPr>
            <w:r w:rsidRPr="006A0770">
              <w:rPr>
                <w:rFonts w:ascii="Book Antiqua" w:hAnsi="Book Antiqua"/>
                <w:b/>
                <w:lang w:val="sr-Latn-CS"/>
              </w:rPr>
              <w:t>Pismo preporuke od strane LAG-a</w:t>
            </w:r>
            <w:r w:rsidRPr="006A0770">
              <w:rPr>
                <w:lang w:val="sr-Latn-CS"/>
              </w:rPr>
              <w:t xml:space="preserve"> o</w:t>
            </w:r>
            <w:r w:rsidRPr="006A0770">
              <w:rPr>
                <w:rFonts w:ascii="Book Antiqua" w:hAnsi="Book Antiqua"/>
                <w:lang w:val="sr-Latn-CS"/>
              </w:rPr>
              <w:t>dabranih sa odobrenim strategijama.</w:t>
            </w:r>
          </w:p>
          <w:p w:rsidR="006359E8" w:rsidRPr="006A0770" w:rsidRDefault="006359E8" w:rsidP="00277B87">
            <w:pPr>
              <w:spacing w:after="0"/>
              <w:jc w:val="both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6359E8" w:rsidRPr="006A0770" w:rsidRDefault="006359E8" w:rsidP="00277B8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6359E8" w:rsidRPr="006A0770" w:rsidRDefault="006359E8" w:rsidP="00277B8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9525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  <w:bookmarkStart w:id="4" w:name="_GoBack"/>
      <w:bookmarkEnd w:id="4"/>
    </w:p>
    <w:p w:rsidR="006359E8" w:rsidRDefault="006359E8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</w:p>
    <w:bookmarkEnd w:id="0"/>
    <w:bookmarkEnd w:id="1"/>
    <w:bookmarkEnd w:id="2"/>
    <w:bookmarkEnd w:id="3"/>
    <w:p w:rsidR="00611D66" w:rsidRPr="00D36048" w:rsidRDefault="00611D66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</w:p>
    <w:p w:rsidR="000673C4" w:rsidRPr="003304C9" w:rsidRDefault="000673C4">
      <w:pPr>
        <w:rPr>
          <w:lang w:val="sr-Latn-CS"/>
        </w:rPr>
      </w:pPr>
    </w:p>
    <w:sectPr w:rsidR="000673C4" w:rsidRPr="003304C9" w:rsidSect="00A4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FD"/>
    <w:multiLevelType w:val="hybridMultilevel"/>
    <w:tmpl w:val="F6AE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0773"/>
    <w:multiLevelType w:val="hybridMultilevel"/>
    <w:tmpl w:val="DC80CBA2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F45"/>
    <w:multiLevelType w:val="hybridMultilevel"/>
    <w:tmpl w:val="3B4EA6CA"/>
    <w:lvl w:ilvl="0" w:tplc="8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80888"/>
    <w:multiLevelType w:val="hybridMultilevel"/>
    <w:tmpl w:val="11507668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66900"/>
    <w:multiLevelType w:val="hybridMultilevel"/>
    <w:tmpl w:val="D9EE349E"/>
    <w:lvl w:ilvl="0" w:tplc="1A46310C">
      <w:start w:val="11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F04EE"/>
    <w:multiLevelType w:val="hybridMultilevel"/>
    <w:tmpl w:val="ACC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58E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0881"/>
    <w:multiLevelType w:val="hybridMultilevel"/>
    <w:tmpl w:val="F5A2F9D4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8061C"/>
    <w:multiLevelType w:val="hybridMultilevel"/>
    <w:tmpl w:val="5712B29C"/>
    <w:lvl w:ilvl="0" w:tplc="C2829F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EE12EFF8">
      <w:start w:val="1"/>
      <w:numFmt w:val="decimal"/>
      <w:lvlText w:val="%2"/>
      <w:lvlJc w:val="left"/>
      <w:pPr>
        <w:ind w:left="174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80F39FE"/>
    <w:multiLevelType w:val="hybridMultilevel"/>
    <w:tmpl w:val="DDBCF20E"/>
    <w:lvl w:ilvl="0" w:tplc="CCE2B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0767A"/>
    <w:multiLevelType w:val="hybridMultilevel"/>
    <w:tmpl w:val="5C70B05E"/>
    <w:lvl w:ilvl="0" w:tplc="DF0C83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B7052EC"/>
    <w:multiLevelType w:val="hybridMultilevel"/>
    <w:tmpl w:val="9AC60680"/>
    <w:lvl w:ilvl="0" w:tplc="96BEA0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D0B19"/>
    <w:multiLevelType w:val="hybridMultilevel"/>
    <w:tmpl w:val="37F642AC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34F11C5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150A8"/>
    <w:multiLevelType w:val="hybridMultilevel"/>
    <w:tmpl w:val="40E28ED2"/>
    <w:lvl w:ilvl="0" w:tplc="8B163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220D1"/>
    <w:multiLevelType w:val="hybridMultilevel"/>
    <w:tmpl w:val="069E4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1"/>
    <w:rsid w:val="00027166"/>
    <w:rsid w:val="00044DD4"/>
    <w:rsid w:val="000673C4"/>
    <w:rsid w:val="000A2F61"/>
    <w:rsid w:val="00136B2C"/>
    <w:rsid w:val="001800FD"/>
    <w:rsid w:val="001D0743"/>
    <w:rsid w:val="001F43EB"/>
    <w:rsid w:val="00262DA4"/>
    <w:rsid w:val="002F0D38"/>
    <w:rsid w:val="00302794"/>
    <w:rsid w:val="003304C9"/>
    <w:rsid w:val="00392EDA"/>
    <w:rsid w:val="00400203"/>
    <w:rsid w:val="00423E04"/>
    <w:rsid w:val="004C1D86"/>
    <w:rsid w:val="00553834"/>
    <w:rsid w:val="005A05AD"/>
    <w:rsid w:val="005D14A4"/>
    <w:rsid w:val="00611D66"/>
    <w:rsid w:val="006359E8"/>
    <w:rsid w:val="007166EB"/>
    <w:rsid w:val="00767273"/>
    <w:rsid w:val="00797969"/>
    <w:rsid w:val="007A2C4D"/>
    <w:rsid w:val="007D00D2"/>
    <w:rsid w:val="00805DB2"/>
    <w:rsid w:val="00871C55"/>
    <w:rsid w:val="008C209D"/>
    <w:rsid w:val="00993C19"/>
    <w:rsid w:val="009F104F"/>
    <w:rsid w:val="00A322FE"/>
    <w:rsid w:val="00A475AB"/>
    <w:rsid w:val="00B378AD"/>
    <w:rsid w:val="00C223EC"/>
    <w:rsid w:val="00C551E3"/>
    <w:rsid w:val="00CC03E6"/>
    <w:rsid w:val="00D659D3"/>
    <w:rsid w:val="00D72AED"/>
    <w:rsid w:val="00E622CD"/>
    <w:rsid w:val="00ED75C6"/>
    <w:rsid w:val="00F2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EA531-7CF7-4946-89FF-F7785BB0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EC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C223E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23EC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C223E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C223EC"/>
    <w:rPr>
      <w:rFonts w:ascii="Calibri" w:eastAsia="MS Mincho" w:hAnsi="Calibri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C2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86"/>
    <w:rPr>
      <w:rFonts w:ascii="Tahoma" w:eastAsiaTheme="minorEastAsia" w:hAnsi="Tahoma" w:cs="Tahoma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rsid w:val="001800FD"/>
    <w:rPr>
      <w:rFonts w:asciiTheme="majorHAnsi" w:eastAsiaTheme="majorEastAsia" w:hAnsiTheme="majorHAnsi" w:cstheme="majorBidi"/>
      <w:b/>
      <w:bCs/>
      <w:color w:val="5B9BD5" w:themeColor="accent1"/>
      <w:lang w:val="de-DE"/>
    </w:rPr>
  </w:style>
  <w:style w:type="paragraph" w:customStyle="1" w:styleId="ColorfulList-Accent12">
    <w:name w:val="Colorful List - Accent 12"/>
    <w:basedOn w:val="Normal"/>
    <w:uiPriority w:val="99"/>
    <w:qFormat/>
    <w:rsid w:val="002F0D38"/>
    <w:pPr>
      <w:ind w:left="720"/>
    </w:pPr>
    <w:rPr>
      <w:rFonts w:eastAsia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Veton Prekazi</cp:lastModifiedBy>
  <cp:revision>2</cp:revision>
  <dcterms:created xsi:type="dcterms:W3CDTF">2018-03-22T10:49:00Z</dcterms:created>
  <dcterms:modified xsi:type="dcterms:W3CDTF">2018-03-22T10:49:00Z</dcterms:modified>
</cp:coreProperties>
</file>